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F443" w14:textId="3B6CA4A0" w:rsidR="00F34892" w:rsidRPr="00F34892" w:rsidRDefault="00C01283" w:rsidP="00F34892">
      <w:pPr>
        <w:spacing w:after="0"/>
        <w:jc w:val="center"/>
        <w:rPr>
          <w:b/>
          <w:sz w:val="28"/>
        </w:rPr>
      </w:pPr>
      <w:r w:rsidRPr="00C01283">
        <w:drawing>
          <wp:anchor distT="0" distB="0" distL="114300" distR="114300" simplePos="0" relativeHeight="251658240" behindDoc="1" locked="0" layoutInCell="1" allowOverlap="1" wp14:anchorId="6A865108" wp14:editId="06CBDF1E">
            <wp:simplePos x="0" y="0"/>
            <wp:positionH relativeFrom="margin">
              <wp:posOffset>4933950</wp:posOffset>
            </wp:positionH>
            <wp:positionV relativeFrom="paragraph">
              <wp:posOffset>55245</wp:posOffset>
            </wp:positionV>
            <wp:extent cx="4152900" cy="6248400"/>
            <wp:effectExtent l="0" t="0" r="0" b="0"/>
            <wp:wrapTight wrapText="bothSides">
              <wp:wrapPolygon edited="0">
                <wp:start x="0" y="0"/>
                <wp:lineTo x="0" y="21534"/>
                <wp:lineTo x="21501" y="21534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96C" w:rsidRPr="0042096C">
        <w:rPr>
          <w:b/>
          <w:sz w:val="28"/>
        </w:rPr>
        <w:t>Crosscutting Concepts</w:t>
      </w:r>
    </w:p>
    <w:p w14:paraId="6346E37F" w14:textId="356C4195" w:rsidR="00595D3F" w:rsidRDefault="00F34892" w:rsidP="00F34892">
      <w:pPr>
        <w:spacing w:after="0"/>
        <w:jc w:val="center"/>
        <w:rPr>
          <w:sz w:val="24"/>
        </w:rPr>
      </w:pPr>
      <w:r>
        <w:rPr>
          <w:sz w:val="24"/>
        </w:rPr>
        <w:t xml:space="preserve">Adapted </w:t>
      </w:r>
      <w:r w:rsidR="00595D3F" w:rsidRPr="00F34892">
        <w:rPr>
          <w:sz w:val="24"/>
        </w:rPr>
        <w:t xml:space="preserve">from: </w:t>
      </w:r>
      <w:r w:rsidR="00672436" w:rsidRPr="00F34892">
        <w:rPr>
          <w:sz w:val="24"/>
        </w:rPr>
        <w:t xml:space="preserve">A </w:t>
      </w:r>
      <w:r w:rsidR="00595D3F" w:rsidRPr="00F34892">
        <w:rPr>
          <w:sz w:val="24"/>
        </w:rPr>
        <w:t>Framework</w:t>
      </w:r>
      <w:r w:rsidR="00672436" w:rsidRPr="00F34892">
        <w:rPr>
          <w:sz w:val="24"/>
        </w:rPr>
        <w:t xml:space="preserve"> for K-12 Education, and NGSS</w:t>
      </w:r>
    </w:p>
    <w:p w14:paraId="7F6FA1D3" w14:textId="7620C513" w:rsidR="00F34892" w:rsidRPr="00595D3F" w:rsidRDefault="00F34892" w:rsidP="00F34892">
      <w:pPr>
        <w:spacing w:after="0"/>
        <w:jc w:val="center"/>
        <w:rPr>
          <w:sz w:val="24"/>
        </w:rPr>
      </w:pPr>
    </w:p>
    <w:p w14:paraId="31925CA6" w14:textId="0379D385" w:rsidR="00595D3F" w:rsidRPr="00595D3F" w:rsidRDefault="00595D3F" w:rsidP="00595D3F">
      <w:pPr>
        <w:rPr>
          <w:sz w:val="24"/>
        </w:rPr>
      </w:pPr>
      <w:r w:rsidRPr="00595D3F">
        <w:rPr>
          <w:sz w:val="20"/>
        </w:rPr>
        <w:t xml:space="preserve"> </w:t>
      </w:r>
      <w:r w:rsidRPr="00595D3F">
        <w:rPr>
          <w:sz w:val="24"/>
        </w:rPr>
        <w:t xml:space="preserve">The seven crosscutting concepts </w:t>
      </w:r>
      <w:r w:rsidR="00672436" w:rsidRPr="00F34892">
        <w:rPr>
          <w:sz w:val="24"/>
        </w:rPr>
        <w:t>that allow us to connect different arenas of science, also cut across other academic content areas: Math, social studies, reading and writing.</w:t>
      </w:r>
    </w:p>
    <w:p w14:paraId="56F91A27" w14:textId="0480703B" w:rsidR="00595D3F" w:rsidRPr="00595D3F" w:rsidRDefault="00595D3F" w:rsidP="00595D3F">
      <w:pPr>
        <w:ind w:left="1080" w:hanging="1080"/>
        <w:rPr>
          <w:sz w:val="24"/>
        </w:rPr>
      </w:pPr>
      <w:r w:rsidRPr="00595D3F">
        <w:rPr>
          <w:sz w:val="24"/>
        </w:rPr>
        <w:t xml:space="preserve">1. </w:t>
      </w:r>
      <w:r w:rsidRPr="00595D3F">
        <w:rPr>
          <w:b/>
          <w:i/>
          <w:iCs/>
          <w:sz w:val="24"/>
        </w:rPr>
        <w:t>Patterns</w:t>
      </w:r>
      <w:r w:rsidRPr="00595D3F">
        <w:rPr>
          <w:i/>
          <w:iCs/>
          <w:sz w:val="24"/>
        </w:rPr>
        <w:t xml:space="preserve">. </w:t>
      </w:r>
      <w:r w:rsidRPr="00595D3F">
        <w:rPr>
          <w:sz w:val="24"/>
        </w:rPr>
        <w:t>Observed patterns of forms and events guide organization and classification</w:t>
      </w:r>
      <w:r w:rsidR="00672436" w:rsidRPr="00F34892">
        <w:rPr>
          <w:sz w:val="24"/>
        </w:rPr>
        <w:t>.</w:t>
      </w:r>
    </w:p>
    <w:p w14:paraId="2D6D3FCF" w14:textId="7BB7365D" w:rsidR="00595D3F" w:rsidRPr="00595D3F" w:rsidRDefault="00595D3F" w:rsidP="00595D3F">
      <w:pPr>
        <w:ind w:left="1080" w:hanging="1080"/>
        <w:rPr>
          <w:sz w:val="24"/>
        </w:rPr>
      </w:pPr>
      <w:r w:rsidRPr="00595D3F">
        <w:rPr>
          <w:sz w:val="24"/>
        </w:rPr>
        <w:t xml:space="preserve">2. </w:t>
      </w:r>
      <w:r w:rsidRPr="00595D3F">
        <w:rPr>
          <w:b/>
          <w:i/>
          <w:iCs/>
          <w:sz w:val="24"/>
        </w:rPr>
        <w:t>Cause and effect</w:t>
      </w:r>
      <w:r w:rsidRPr="00595D3F">
        <w:rPr>
          <w:i/>
          <w:iCs/>
          <w:sz w:val="24"/>
        </w:rPr>
        <w:t>: Mechanism and explanation</w:t>
      </w:r>
      <w:r w:rsidRPr="00595D3F">
        <w:rPr>
          <w:sz w:val="24"/>
        </w:rPr>
        <w:t>. Events have causes, sometimes simple, sometimes multifaceted</w:t>
      </w:r>
      <w:r w:rsidR="00672436" w:rsidRPr="00F34892">
        <w:rPr>
          <w:sz w:val="24"/>
        </w:rPr>
        <w:t xml:space="preserve"> that</w:t>
      </w:r>
      <w:r w:rsidRPr="00595D3F">
        <w:rPr>
          <w:sz w:val="24"/>
        </w:rPr>
        <w:t xml:space="preserve"> can then be tested and used to predict and explain events in new contexts. </w:t>
      </w:r>
    </w:p>
    <w:p w14:paraId="5335A26B" w14:textId="35630363" w:rsidR="00595D3F" w:rsidRPr="00595D3F" w:rsidRDefault="00595D3F" w:rsidP="00595D3F">
      <w:pPr>
        <w:ind w:left="1080" w:hanging="1080"/>
        <w:rPr>
          <w:sz w:val="24"/>
        </w:rPr>
      </w:pPr>
      <w:r w:rsidRPr="00595D3F">
        <w:rPr>
          <w:sz w:val="24"/>
        </w:rPr>
        <w:t xml:space="preserve">3. </w:t>
      </w:r>
      <w:r w:rsidRPr="00595D3F">
        <w:rPr>
          <w:b/>
          <w:i/>
          <w:iCs/>
          <w:sz w:val="24"/>
        </w:rPr>
        <w:t>Scale, proportion, and quantity</w:t>
      </w:r>
      <w:r w:rsidRPr="00595D3F">
        <w:rPr>
          <w:i/>
          <w:iCs/>
          <w:sz w:val="24"/>
        </w:rPr>
        <w:t xml:space="preserve">. </w:t>
      </w:r>
      <w:r w:rsidR="00672436" w:rsidRPr="00F34892">
        <w:rPr>
          <w:sz w:val="24"/>
        </w:rPr>
        <w:t>R</w:t>
      </w:r>
      <w:r w:rsidRPr="00595D3F">
        <w:rPr>
          <w:sz w:val="24"/>
        </w:rPr>
        <w:t xml:space="preserve">ecognize what is relevant at different measures of size, time, and energy and how changes </w:t>
      </w:r>
      <w:r w:rsidR="00672436" w:rsidRPr="00F34892">
        <w:rPr>
          <w:sz w:val="24"/>
        </w:rPr>
        <w:t xml:space="preserve">affect </w:t>
      </w:r>
      <w:r w:rsidRPr="00595D3F">
        <w:rPr>
          <w:sz w:val="24"/>
        </w:rPr>
        <w:t xml:space="preserve">a system’s structure or performance. </w:t>
      </w:r>
    </w:p>
    <w:p w14:paraId="4BA4C1E1" w14:textId="62FEDE4C" w:rsidR="00595D3F" w:rsidRPr="00595D3F" w:rsidRDefault="00595D3F" w:rsidP="00595D3F">
      <w:pPr>
        <w:ind w:left="1080" w:hanging="1080"/>
        <w:rPr>
          <w:sz w:val="24"/>
        </w:rPr>
      </w:pPr>
      <w:r w:rsidRPr="00595D3F">
        <w:rPr>
          <w:sz w:val="24"/>
        </w:rPr>
        <w:t xml:space="preserve">4. </w:t>
      </w:r>
      <w:r w:rsidRPr="00595D3F">
        <w:rPr>
          <w:b/>
          <w:i/>
          <w:iCs/>
          <w:sz w:val="24"/>
        </w:rPr>
        <w:t>Systems and system models.</w:t>
      </w:r>
      <w:r w:rsidRPr="00595D3F">
        <w:rPr>
          <w:i/>
          <w:iCs/>
          <w:sz w:val="24"/>
        </w:rPr>
        <w:t xml:space="preserve"> </w:t>
      </w:r>
      <w:r w:rsidRPr="00595D3F">
        <w:rPr>
          <w:sz w:val="24"/>
        </w:rPr>
        <w:t>Defining the system under study</w:t>
      </w:r>
      <w:r w:rsidR="00672436" w:rsidRPr="00F34892">
        <w:rPr>
          <w:sz w:val="24"/>
        </w:rPr>
        <w:t xml:space="preserve"> </w:t>
      </w:r>
      <w:r w:rsidRPr="00595D3F">
        <w:rPr>
          <w:sz w:val="24"/>
        </w:rPr>
        <w:t>provides tools for understanding and testing ideas</w:t>
      </w:r>
      <w:r w:rsidR="00672436" w:rsidRPr="00F34892">
        <w:rPr>
          <w:sz w:val="24"/>
        </w:rPr>
        <w:t>.</w:t>
      </w:r>
    </w:p>
    <w:p w14:paraId="0AAEBADE" w14:textId="52B9CBB6" w:rsidR="00595D3F" w:rsidRPr="00F34892" w:rsidRDefault="00595D3F" w:rsidP="00672436">
      <w:pPr>
        <w:pStyle w:val="Default"/>
        <w:ind w:left="1170" w:hanging="1170"/>
        <w:rPr>
          <w:rFonts w:asciiTheme="minorHAnsi" w:hAnsiTheme="minorHAnsi" w:cstheme="minorBidi"/>
          <w:color w:val="auto"/>
          <w:szCs w:val="22"/>
        </w:rPr>
      </w:pPr>
      <w:r w:rsidRPr="00595D3F">
        <w:t xml:space="preserve">5. </w:t>
      </w:r>
      <w:r w:rsidRPr="00595D3F">
        <w:rPr>
          <w:b/>
          <w:i/>
          <w:iCs/>
        </w:rPr>
        <w:t>Energy and matter</w:t>
      </w:r>
      <w:r w:rsidRPr="00595D3F">
        <w:rPr>
          <w:i/>
          <w:iCs/>
        </w:rPr>
        <w:t xml:space="preserve">: Flows, cycles, and conservation. </w:t>
      </w:r>
      <w:r w:rsidR="00672436" w:rsidRPr="00F34892">
        <w:rPr>
          <w:rFonts w:asciiTheme="minorHAnsi" w:hAnsiTheme="minorHAnsi" w:cstheme="minorBidi"/>
          <w:color w:val="auto"/>
          <w:szCs w:val="22"/>
        </w:rPr>
        <w:t>Tracking fluxes of energy and matter into, out of, and within systems helps one understand the systems’ possibilities and limitations.</w:t>
      </w:r>
    </w:p>
    <w:p w14:paraId="3CC8EEB1" w14:textId="77777777" w:rsidR="00F34892" w:rsidRPr="00595D3F" w:rsidRDefault="00F34892" w:rsidP="00672436">
      <w:pPr>
        <w:pStyle w:val="Default"/>
        <w:ind w:left="1170" w:hanging="1170"/>
        <w:rPr>
          <w:sz w:val="22"/>
        </w:rPr>
      </w:pPr>
    </w:p>
    <w:p w14:paraId="6C43A03A" w14:textId="77777777" w:rsidR="00595D3F" w:rsidRPr="00595D3F" w:rsidRDefault="00595D3F" w:rsidP="00595D3F">
      <w:pPr>
        <w:ind w:left="1080" w:hanging="1080"/>
        <w:rPr>
          <w:sz w:val="24"/>
        </w:rPr>
      </w:pPr>
      <w:r w:rsidRPr="00595D3F">
        <w:rPr>
          <w:sz w:val="24"/>
        </w:rPr>
        <w:t xml:space="preserve">6. </w:t>
      </w:r>
      <w:r w:rsidRPr="00595D3F">
        <w:rPr>
          <w:b/>
          <w:i/>
          <w:iCs/>
          <w:sz w:val="24"/>
        </w:rPr>
        <w:t>Structure and function.</w:t>
      </w:r>
      <w:r w:rsidRPr="00595D3F">
        <w:rPr>
          <w:i/>
          <w:iCs/>
          <w:sz w:val="24"/>
        </w:rPr>
        <w:t xml:space="preserve"> </w:t>
      </w:r>
      <w:r w:rsidRPr="00595D3F">
        <w:rPr>
          <w:sz w:val="24"/>
        </w:rPr>
        <w:t xml:space="preserve">The way in which an object or living thing is shaped and its substructure determine many of its properties and functions. </w:t>
      </w:r>
    </w:p>
    <w:p w14:paraId="547CF504" w14:textId="71075C95" w:rsidR="00F34892" w:rsidRPr="00F34892" w:rsidRDefault="00595D3F" w:rsidP="00C01283">
      <w:pPr>
        <w:ind w:left="180"/>
        <w:rPr>
          <w:sz w:val="24"/>
        </w:rPr>
      </w:pPr>
      <w:r w:rsidRPr="00F34892">
        <w:rPr>
          <w:sz w:val="24"/>
        </w:rPr>
        <w:t xml:space="preserve">7. </w:t>
      </w:r>
      <w:r w:rsidRPr="00F34892">
        <w:rPr>
          <w:b/>
          <w:i/>
          <w:iCs/>
          <w:sz w:val="24"/>
        </w:rPr>
        <w:t>Stability and change</w:t>
      </w:r>
      <w:r w:rsidRPr="00F34892">
        <w:rPr>
          <w:i/>
          <w:iCs/>
          <w:sz w:val="24"/>
        </w:rPr>
        <w:t xml:space="preserve">. </w:t>
      </w:r>
      <w:r w:rsidRPr="00F34892">
        <w:rPr>
          <w:sz w:val="24"/>
        </w:rPr>
        <w:t xml:space="preserve">conditions of stability and determinants of rates of change </w:t>
      </w:r>
      <w:r w:rsidR="00F34892" w:rsidRPr="00F34892">
        <w:rPr>
          <w:sz w:val="24"/>
        </w:rPr>
        <w:t>are critical elements.</w:t>
      </w:r>
      <w:r w:rsidR="00C01283" w:rsidRPr="00C01283">
        <w:t xml:space="preserve"> </w:t>
      </w:r>
      <w:r w:rsidR="00C01283">
        <w:br w:type="column"/>
      </w:r>
      <w:bookmarkStart w:id="0" w:name="_GoBack"/>
      <w:bookmarkEnd w:id="0"/>
    </w:p>
    <w:sectPr w:rsidR="00F34892" w:rsidRPr="00F34892" w:rsidSect="005262D6">
      <w:pgSz w:w="15840" w:h="12240" w:orient="landscape"/>
      <w:pgMar w:top="100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2979"/>
    <w:multiLevelType w:val="multilevel"/>
    <w:tmpl w:val="6A26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6C"/>
    <w:rsid w:val="001D2B43"/>
    <w:rsid w:val="00333B76"/>
    <w:rsid w:val="0042096C"/>
    <w:rsid w:val="005262D6"/>
    <w:rsid w:val="00595D3F"/>
    <w:rsid w:val="00672436"/>
    <w:rsid w:val="007C7C92"/>
    <w:rsid w:val="00A30C54"/>
    <w:rsid w:val="00C01283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8762"/>
  <w15:chartTrackingRefBased/>
  <w15:docId w15:val="{7D0BED70-CE53-4A73-BABB-A1EF62C5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Brown</dc:creator>
  <cp:keywords/>
  <dc:description/>
  <cp:lastModifiedBy> </cp:lastModifiedBy>
  <cp:revision>6</cp:revision>
  <cp:lastPrinted>2019-03-23T18:53:00Z</cp:lastPrinted>
  <dcterms:created xsi:type="dcterms:W3CDTF">2019-03-23T18:56:00Z</dcterms:created>
  <dcterms:modified xsi:type="dcterms:W3CDTF">2019-03-23T19:02:00Z</dcterms:modified>
</cp:coreProperties>
</file>