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0ED1D6" w14:textId="77777777" w:rsidR="005A3175" w:rsidRDefault="001D41E1">
      <w:pPr>
        <w:jc w:val="center"/>
        <w:rPr>
          <w:rFonts w:ascii="Merriweather" w:eastAsia="Merriweather" w:hAnsi="Merriweather" w:cs="Merriweather"/>
          <w:b/>
          <w:sz w:val="36"/>
          <w:szCs w:val="36"/>
        </w:rPr>
      </w:pPr>
      <w:r>
        <w:rPr>
          <w:rFonts w:ascii="Merriweather" w:eastAsia="Merriweather" w:hAnsi="Merriweather" w:cs="Merriweather"/>
          <w:b/>
          <w:sz w:val="36"/>
          <w:szCs w:val="36"/>
        </w:rPr>
        <w:t>What’s in our trash can?</w:t>
      </w:r>
    </w:p>
    <w:p w14:paraId="4B94F128" w14:textId="77777777" w:rsidR="005A3175" w:rsidRDefault="005A3175"/>
    <w:p w14:paraId="2BF47362" w14:textId="77777777" w:rsidR="005A3175" w:rsidRDefault="001D41E1">
      <w:r>
        <w:t>In this lesson, we are going to take a look at what is in the trash can of an average household in the United States. We will show more than one way to display that information.</w:t>
      </w:r>
    </w:p>
    <w:p w14:paraId="5BFB4700" w14:textId="77777777" w:rsidR="005A3175" w:rsidRDefault="005A3175"/>
    <w:p w14:paraId="51DFA104" w14:textId="77777777" w:rsidR="005A3175" w:rsidRDefault="001D41E1">
      <w:r>
        <w:t>Students will:</w:t>
      </w:r>
    </w:p>
    <w:p w14:paraId="0B310460" w14:textId="77777777" w:rsidR="005A3175" w:rsidRDefault="001D41E1">
      <w:pPr>
        <w:numPr>
          <w:ilvl w:val="0"/>
          <w:numId w:val="2"/>
        </w:numPr>
      </w:pPr>
      <w:r>
        <w:t>Reflect on their own knowledge of what is in their trash can.</w:t>
      </w:r>
    </w:p>
    <w:p w14:paraId="72819C41" w14:textId="77777777" w:rsidR="005A3175" w:rsidRDefault="001D41E1">
      <w:pPr>
        <w:numPr>
          <w:ilvl w:val="0"/>
          <w:numId w:val="2"/>
        </w:numPr>
      </w:pPr>
      <w:r>
        <w:t>Look at Charts and graphs depicting the quantity of waste generated in the U.S. by category and per capita.</w:t>
      </w:r>
    </w:p>
    <w:p w14:paraId="71547175" w14:textId="77777777" w:rsidR="005A3175" w:rsidRDefault="001D41E1">
      <w:pPr>
        <w:numPr>
          <w:ilvl w:val="0"/>
          <w:numId w:val="2"/>
        </w:numPr>
      </w:pPr>
      <w:r>
        <w:t>Construct a bar graph to display the tonnage generated for nine categories of waste.</w:t>
      </w:r>
    </w:p>
    <w:p w14:paraId="4F917B7B" w14:textId="77777777" w:rsidR="005A3175" w:rsidRDefault="001D41E1">
      <w:pPr>
        <w:numPr>
          <w:ilvl w:val="0"/>
          <w:numId w:val="2"/>
        </w:numPr>
      </w:pPr>
      <w:r>
        <w:t>Transform the information into a pie chart depicting percentage generation.</w:t>
      </w:r>
    </w:p>
    <w:p w14:paraId="1B3AFFC4" w14:textId="77777777" w:rsidR="005A3175" w:rsidRDefault="001D41E1">
      <w:pPr>
        <w:numPr>
          <w:ilvl w:val="0"/>
          <w:numId w:val="2"/>
        </w:numPr>
      </w:pPr>
      <w:r>
        <w:t>Calculate the fraction of each material in tons (part over whole) and percent.</w:t>
      </w:r>
    </w:p>
    <w:p w14:paraId="4172D320" w14:textId="77777777" w:rsidR="005A3175" w:rsidRDefault="001D41E1">
      <w:pPr>
        <w:rPr>
          <w:color w:val="FF0000"/>
        </w:rPr>
      </w:pPr>
      <w:r>
        <w:tab/>
      </w:r>
      <w:r>
        <w:tab/>
      </w:r>
      <w:r>
        <w:rPr>
          <w:color w:val="FF0000"/>
        </w:rPr>
        <w:t>Give credit to EMPOWER lesson….</w:t>
      </w:r>
    </w:p>
    <w:p w14:paraId="6D1A530E" w14:textId="77777777" w:rsidR="005A3175" w:rsidRDefault="001D41E1">
      <w:pPr>
        <w:rPr>
          <w:color w:val="FF0000"/>
        </w:rPr>
      </w:pPr>
      <w:r>
        <w:rPr>
          <w:color w:val="FF0000"/>
        </w:rPr>
        <w:t>Materials: 2 sheets graph paper each student, scissors, tape, circular object or compass</w:t>
      </w:r>
    </w:p>
    <w:p w14:paraId="25F13786" w14:textId="77777777" w:rsidR="005A3175" w:rsidRDefault="005A3175">
      <w:pPr>
        <w:rPr>
          <w:color w:val="FF0000"/>
        </w:rPr>
      </w:pPr>
    </w:p>
    <w:p w14:paraId="31EBD7D6" w14:textId="77777777" w:rsidR="005A3175" w:rsidRDefault="001D41E1">
      <w:r>
        <w:t>Prompt:</w:t>
      </w:r>
    </w:p>
    <w:p w14:paraId="3FC40382" w14:textId="77777777" w:rsidR="005A3175" w:rsidRDefault="001D41E1">
      <w:r>
        <w:t>What do you know?</w:t>
      </w:r>
    </w:p>
    <w:p w14:paraId="5DC7791A" w14:textId="77777777" w:rsidR="005A3175" w:rsidRDefault="001D41E1">
      <w:r>
        <w:tab/>
        <w:t>Brainstorm what types of things we throw away in our municipal solid waste in the U.S.</w:t>
      </w:r>
    </w:p>
    <w:p w14:paraId="487DC358" w14:textId="77777777" w:rsidR="005A3175" w:rsidRDefault="001D41E1">
      <w:r>
        <w:tab/>
        <w:t>How might you show this?</w:t>
      </w:r>
    </w:p>
    <w:p w14:paraId="1BBBEC33" w14:textId="77777777" w:rsidR="005A3175" w:rsidRDefault="005A3175"/>
    <w:p w14:paraId="13612337" w14:textId="77777777" w:rsidR="005A3175" w:rsidRDefault="001D41E1">
      <w:r>
        <w:t>Compare:</w:t>
      </w:r>
    </w:p>
    <w:p w14:paraId="1090C1C9" w14:textId="77777777" w:rsidR="005A3175" w:rsidRDefault="001D41E1">
      <w:r>
        <w:t>Let’s compare our class Brainstorm to what the EPA says we throw away:</w:t>
      </w:r>
    </w:p>
    <w:p w14:paraId="1C66F677" w14:textId="77777777" w:rsidR="005A3175" w:rsidRDefault="001D41E1">
      <w:r>
        <w:rPr>
          <w:noProof/>
          <w:lang w:val="en-US"/>
        </w:rPr>
        <w:drawing>
          <wp:anchor distT="114300" distB="114300" distL="114300" distR="114300" simplePos="0" relativeHeight="251658240" behindDoc="0" locked="0" layoutInCell="1" hidden="0" allowOverlap="1" wp14:anchorId="038481A4" wp14:editId="0D6E300C">
            <wp:simplePos x="0" y="0"/>
            <wp:positionH relativeFrom="column">
              <wp:posOffset>19051</wp:posOffset>
            </wp:positionH>
            <wp:positionV relativeFrom="paragraph">
              <wp:posOffset>219075</wp:posOffset>
            </wp:positionV>
            <wp:extent cx="2305050" cy="40719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4402" r="24605"/>
                    <a:stretch>
                      <a:fillRect/>
                    </a:stretch>
                  </pic:blipFill>
                  <pic:spPr>
                    <a:xfrm>
                      <a:off x="0" y="0"/>
                      <a:ext cx="2305050" cy="4071938"/>
                    </a:xfrm>
                    <a:prstGeom prst="rect">
                      <a:avLst/>
                    </a:prstGeom>
                    <a:ln/>
                  </pic:spPr>
                </pic:pic>
              </a:graphicData>
            </a:graphic>
          </wp:anchor>
        </w:drawing>
      </w:r>
    </w:p>
    <w:p w14:paraId="350A00C8" w14:textId="77777777" w:rsidR="005A3175" w:rsidRDefault="005A3175"/>
    <w:p w14:paraId="5BCCD26B" w14:textId="77777777" w:rsidR="005A3175" w:rsidRDefault="005A3175"/>
    <w:p w14:paraId="5BB143F0" w14:textId="77777777" w:rsidR="005A3175" w:rsidRDefault="005A3175"/>
    <w:p w14:paraId="3A882BB3" w14:textId="77777777" w:rsidR="005A3175" w:rsidRDefault="005A3175"/>
    <w:p w14:paraId="15013FE1" w14:textId="77777777" w:rsidR="005A3175" w:rsidRDefault="005A3175"/>
    <w:p w14:paraId="6BFC6A03" w14:textId="77777777" w:rsidR="005A3175" w:rsidRDefault="005A3175"/>
    <w:p w14:paraId="4D7BD5AC" w14:textId="77777777" w:rsidR="005A3175" w:rsidRDefault="001D41E1">
      <w:r>
        <w:t>How do the materials thrown away compare to our brainstorm?</w:t>
      </w:r>
    </w:p>
    <w:p w14:paraId="22C10692" w14:textId="77777777" w:rsidR="005A3175" w:rsidRDefault="005A3175"/>
    <w:p w14:paraId="6225D5C5" w14:textId="77777777" w:rsidR="005A3175" w:rsidRDefault="001D41E1">
      <w:r>
        <w:t>Note the categories:</w:t>
      </w:r>
    </w:p>
    <w:p w14:paraId="6086D263" w14:textId="77777777" w:rsidR="005A3175" w:rsidRDefault="001D41E1">
      <w:r>
        <w:tab/>
      </w:r>
    </w:p>
    <w:p w14:paraId="2F42086B" w14:textId="77777777" w:rsidR="005A3175" w:rsidRDefault="005A3175"/>
    <w:p w14:paraId="1349AC4B" w14:textId="77777777" w:rsidR="005A3175" w:rsidRDefault="005A3175"/>
    <w:p w14:paraId="0C636E4C" w14:textId="77777777" w:rsidR="005A3175" w:rsidRDefault="005A3175"/>
    <w:p w14:paraId="5D8B2429" w14:textId="77777777" w:rsidR="005A3175" w:rsidRDefault="005A3175"/>
    <w:p w14:paraId="3DF72ED5" w14:textId="77777777" w:rsidR="005A3175" w:rsidRDefault="005A3175"/>
    <w:p w14:paraId="4ECC7779" w14:textId="77777777" w:rsidR="005A3175" w:rsidRDefault="005A3175">
      <w:pPr>
        <w:rPr>
          <w:i/>
        </w:rPr>
      </w:pPr>
    </w:p>
    <w:p w14:paraId="15102B7C" w14:textId="77777777" w:rsidR="005A3175" w:rsidRDefault="005A3175">
      <w:pPr>
        <w:rPr>
          <w:i/>
        </w:rPr>
      </w:pPr>
    </w:p>
    <w:p w14:paraId="2860F550" w14:textId="77777777" w:rsidR="005A3175" w:rsidRDefault="005A3175">
      <w:pPr>
        <w:rPr>
          <w:i/>
        </w:rPr>
      </w:pPr>
    </w:p>
    <w:p w14:paraId="2AAFB98F" w14:textId="77777777" w:rsidR="005A3175" w:rsidRDefault="005A3175">
      <w:pPr>
        <w:rPr>
          <w:i/>
        </w:rPr>
      </w:pPr>
    </w:p>
    <w:p w14:paraId="326E5EF8" w14:textId="53033B18" w:rsidR="001D41E1" w:rsidRDefault="001D41E1">
      <w:pPr>
        <w:rPr>
          <w:i/>
        </w:rPr>
      </w:pPr>
      <w:r>
        <w:rPr>
          <w:i/>
        </w:rPr>
        <w:br w:type="page"/>
      </w:r>
    </w:p>
    <w:p w14:paraId="4F3E1687" w14:textId="77777777" w:rsidR="005A3175" w:rsidRDefault="001D41E1">
      <w:pPr>
        <w:rPr>
          <w:i/>
        </w:rPr>
      </w:pPr>
      <w:r>
        <w:rPr>
          <w:noProof/>
          <w:lang w:val="en-US"/>
        </w:rPr>
        <w:lastRenderedPageBreak/>
        <w:drawing>
          <wp:anchor distT="114300" distB="114300" distL="114300" distR="114300" simplePos="0" relativeHeight="251659264" behindDoc="0" locked="0" layoutInCell="1" hidden="0" allowOverlap="1" wp14:anchorId="5735EA11" wp14:editId="4A61605F">
            <wp:simplePos x="0" y="0"/>
            <wp:positionH relativeFrom="column">
              <wp:posOffset>1</wp:posOffset>
            </wp:positionH>
            <wp:positionV relativeFrom="paragraph">
              <wp:posOffset>114300</wp:posOffset>
            </wp:positionV>
            <wp:extent cx="3019425" cy="463867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4322"/>
                    <a:stretch>
                      <a:fillRect/>
                    </a:stretch>
                  </pic:blipFill>
                  <pic:spPr>
                    <a:xfrm>
                      <a:off x="0" y="0"/>
                      <a:ext cx="3019425" cy="4638675"/>
                    </a:xfrm>
                    <a:prstGeom prst="rect">
                      <a:avLst/>
                    </a:prstGeom>
                    <a:ln/>
                  </pic:spPr>
                </pic:pic>
              </a:graphicData>
            </a:graphic>
          </wp:anchor>
        </w:drawing>
      </w:r>
    </w:p>
    <w:p w14:paraId="1BF308FE" w14:textId="77777777" w:rsidR="005A3175" w:rsidRDefault="005A3175">
      <w:pPr>
        <w:rPr>
          <w:i/>
        </w:rPr>
      </w:pPr>
    </w:p>
    <w:p w14:paraId="55ACCAD8" w14:textId="77777777" w:rsidR="005A3175" w:rsidRDefault="001D41E1">
      <w:r>
        <w:t>Same chart with quantities for each category.</w:t>
      </w:r>
    </w:p>
    <w:p w14:paraId="60EEA0C0" w14:textId="77777777" w:rsidR="005A3175" w:rsidRDefault="001D41E1">
      <w:r>
        <w:t xml:space="preserve"> </w:t>
      </w:r>
    </w:p>
    <w:p w14:paraId="3D99CF40" w14:textId="77777777" w:rsidR="005A3175" w:rsidRDefault="001D41E1">
      <w:pPr>
        <w:rPr>
          <w:i/>
        </w:rPr>
      </w:pPr>
      <w:r>
        <w:t>This chart shows the composition of the municipal waste generated in the U.S. in millions of tons per year for the whole country.</w:t>
      </w:r>
    </w:p>
    <w:p w14:paraId="50B09A7F" w14:textId="77777777" w:rsidR="005A3175" w:rsidRDefault="005A3175">
      <w:pPr>
        <w:rPr>
          <w:i/>
        </w:rPr>
      </w:pPr>
    </w:p>
    <w:p w14:paraId="2223E895" w14:textId="77777777" w:rsidR="005A3175" w:rsidRDefault="001D41E1">
      <w:r>
        <w:t>Categories.</w:t>
      </w:r>
    </w:p>
    <w:p w14:paraId="569E6BED" w14:textId="77777777" w:rsidR="005A3175" w:rsidRDefault="001D41E1">
      <w:r>
        <w:t>Let’s combine a couple of small ones to make our task easier.</w:t>
      </w:r>
    </w:p>
    <w:p w14:paraId="169F4E19" w14:textId="77777777" w:rsidR="005A3175" w:rsidRDefault="005A3175"/>
    <w:p w14:paraId="7883D73E" w14:textId="77777777" w:rsidR="005A3175" w:rsidRDefault="001D41E1">
      <w:pPr>
        <w:numPr>
          <w:ilvl w:val="0"/>
          <w:numId w:val="3"/>
        </w:numPr>
      </w:pPr>
      <w:r>
        <w:t>Paper and Paperboard</w:t>
      </w:r>
    </w:p>
    <w:p w14:paraId="74E54E45" w14:textId="77777777" w:rsidR="005A3175" w:rsidRDefault="001D41E1">
      <w:pPr>
        <w:numPr>
          <w:ilvl w:val="0"/>
          <w:numId w:val="3"/>
        </w:numPr>
      </w:pPr>
      <w:r>
        <w:t>Glass</w:t>
      </w:r>
    </w:p>
    <w:p w14:paraId="1BF8AAE0" w14:textId="77777777" w:rsidR="005A3175" w:rsidRDefault="001D41E1">
      <w:pPr>
        <w:numPr>
          <w:ilvl w:val="0"/>
          <w:numId w:val="3"/>
        </w:numPr>
      </w:pPr>
      <w:r>
        <w:t>Metals</w:t>
      </w:r>
    </w:p>
    <w:p w14:paraId="2DC005F4" w14:textId="77777777" w:rsidR="005A3175" w:rsidRDefault="001D41E1">
      <w:pPr>
        <w:numPr>
          <w:ilvl w:val="0"/>
          <w:numId w:val="3"/>
        </w:numPr>
      </w:pPr>
      <w:r>
        <w:t>Plastics</w:t>
      </w:r>
    </w:p>
    <w:p w14:paraId="3AB12C6B" w14:textId="77777777" w:rsidR="005A3175" w:rsidRDefault="001D41E1">
      <w:pPr>
        <w:numPr>
          <w:ilvl w:val="0"/>
          <w:numId w:val="3"/>
        </w:numPr>
      </w:pPr>
      <w:r>
        <w:t>Rubber, Leather and Textiles</w:t>
      </w:r>
    </w:p>
    <w:p w14:paraId="3A01E95A" w14:textId="77777777" w:rsidR="005A3175" w:rsidRDefault="001D41E1">
      <w:pPr>
        <w:numPr>
          <w:ilvl w:val="0"/>
          <w:numId w:val="3"/>
        </w:numPr>
      </w:pPr>
      <w:r>
        <w:t>Wood</w:t>
      </w:r>
    </w:p>
    <w:p w14:paraId="7661EB6C" w14:textId="77777777" w:rsidR="005A3175" w:rsidRDefault="001D41E1">
      <w:pPr>
        <w:numPr>
          <w:ilvl w:val="0"/>
          <w:numId w:val="3"/>
        </w:numPr>
      </w:pPr>
      <w:r>
        <w:t>Food</w:t>
      </w:r>
    </w:p>
    <w:p w14:paraId="25918440" w14:textId="77777777" w:rsidR="005A3175" w:rsidRDefault="001D41E1">
      <w:pPr>
        <w:numPr>
          <w:ilvl w:val="0"/>
          <w:numId w:val="3"/>
        </w:numPr>
      </w:pPr>
      <w:r>
        <w:t>Yard Trimmings</w:t>
      </w:r>
    </w:p>
    <w:p w14:paraId="5A8B4205" w14:textId="77777777" w:rsidR="005A3175" w:rsidRDefault="001D41E1">
      <w:pPr>
        <w:numPr>
          <w:ilvl w:val="0"/>
          <w:numId w:val="3"/>
        </w:numPr>
      </w:pPr>
      <w:r>
        <w:t>OTHER (include Other materials and Miscellaneous)</w:t>
      </w:r>
    </w:p>
    <w:p w14:paraId="2B70B18E" w14:textId="77777777" w:rsidR="005A3175" w:rsidRDefault="005A3175">
      <w:pPr>
        <w:rPr>
          <w:i/>
        </w:rPr>
      </w:pPr>
    </w:p>
    <w:p w14:paraId="1D58521B" w14:textId="77777777" w:rsidR="005A3175" w:rsidRDefault="005A3175">
      <w:pPr>
        <w:rPr>
          <w:i/>
        </w:rPr>
      </w:pPr>
    </w:p>
    <w:p w14:paraId="60528E27" w14:textId="77777777" w:rsidR="005A3175" w:rsidRDefault="005A3175">
      <w:pPr>
        <w:rPr>
          <w:i/>
        </w:rPr>
      </w:pPr>
    </w:p>
    <w:p w14:paraId="5A245EC9" w14:textId="77777777" w:rsidR="005A3175" w:rsidRDefault="005A3175">
      <w:pPr>
        <w:rPr>
          <w:i/>
        </w:rPr>
      </w:pPr>
    </w:p>
    <w:p w14:paraId="40551F15" w14:textId="77777777" w:rsidR="005A3175" w:rsidRDefault="005A3175">
      <w:pPr>
        <w:rPr>
          <w:i/>
        </w:rPr>
      </w:pPr>
    </w:p>
    <w:p w14:paraId="1C964F35" w14:textId="77777777" w:rsidR="005A3175" w:rsidRDefault="001D41E1">
      <w:pPr>
        <w:numPr>
          <w:ilvl w:val="0"/>
          <w:numId w:val="1"/>
        </w:numPr>
        <w:ind w:left="360"/>
        <w:rPr>
          <w:sz w:val="24"/>
          <w:szCs w:val="24"/>
        </w:rPr>
      </w:pPr>
      <w:r>
        <w:rPr>
          <w:sz w:val="24"/>
          <w:szCs w:val="24"/>
        </w:rPr>
        <w:t>Use this chart to make a bar graph showing the comparison of the nine categories listed and their weight generated. Use graph paper and have two squares equal ten tons.</w:t>
      </w:r>
    </w:p>
    <w:p w14:paraId="4D697148" w14:textId="77777777" w:rsidR="005A3175" w:rsidRDefault="001D41E1">
      <w:pPr>
        <w:numPr>
          <w:ilvl w:val="0"/>
          <w:numId w:val="1"/>
        </w:numPr>
        <w:ind w:left="360"/>
        <w:rPr>
          <w:sz w:val="24"/>
          <w:szCs w:val="24"/>
        </w:rPr>
      </w:pPr>
      <w:r>
        <w:rPr>
          <w:sz w:val="24"/>
          <w:szCs w:val="24"/>
        </w:rPr>
        <w:t>When complete, and after discussing the work, each student will LABEL EACH column (on the column or on the back of the paper).</w:t>
      </w:r>
    </w:p>
    <w:p w14:paraId="612BA681" w14:textId="77777777" w:rsidR="005A3175" w:rsidRDefault="001D41E1">
      <w:pPr>
        <w:numPr>
          <w:ilvl w:val="0"/>
          <w:numId w:val="1"/>
        </w:numPr>
        <w:ind w:left="360"/>
        <w:rPr>
          <w:sz w:val="24"/>
          <w:szCs w:val="24"/>
        </w:rPr>
      </w:pPr>
      <w:r>
        <w:rPr>
          <w:sz w:val="24"/>
          <w:szCs w:val="24"/>
        </w:rPr>
        <w:t>Cut out each column and tape them end to end.</w:t>
      </w:r>
    </w:p>
    <w:p w14:paraId="629F8A6A" w14:textId="77777777" w:rsidR="005A3175" w:rsidRDefault="001D41E1">
      <w:pPr>
        <w:numPr>
          <w:ilvl w:val="0"/>
          <w:numId w:val="1"/>
        </w:numPr>
        <w:ind w:left="360"/>
        <w:rPr>
          <w:sz w:val="24"/>
          <w:szCs w:val="24"/>
        </w:rPr>
      </w:pPr>
      <w:r>
        <w:rPr>
          <w:sz w:val="24"/>
          <w:szCs w:val="24"/>
        </w:rPr>
        <w:t>Close the loop so that the columns now form a paper circle.</w:t>
      </w:r>
    </w:p>
    <w:p w14:paraId="1D8DDF66" w14:textId="77777777" w:rsidR="005A3175" w:rsidRDefault="001D41E1">
      <w:pPr>
        <w:numPr>
          <w:ilvl w:val="0"/>
          <w:numId w:val="1"/>
        </w:numPr>
        <w:ind w:left="360"/>
        <w:rPr>
          <w:sz w:val="24"/>
          <w:szCs w:val="24"/>
        </w:rPr>
      </w:pPr>
      <w:r>
        <w:rPr>
          <w:sz w:val="24"/>
          <w:szCs w:val="24"/>
        </w:rPr>
        <w:t xml:space="preserve">Place the paper circle on the second piece of graph paper. Carefully MARK THE CENTER of the circle. Very carefully, mark the INTERSECTION OF EACH CATEGORY BAR onto the piece of paper, equidistant from the center marked.  Label the space between to mark the categories. </w:t>
      </w:r>
    </w:p>
    <w:p w14:paraId="66C00C31" w14:textId="77777777" w:rsidR="005A3175" w:rsidRDefault="001D41E1">
      <w:pPr>
        <w:numPr>
          <w:ilvl w:val="0"/>
          <w:numId w:val="1"/>
        </w:numPr>
        <w:ind w:left="360"/>
        <w:rPr>
          <w:sz w:val="24"/>
          <w:szCs w:val="24"/>
        </w:rPr>
      </w:pPr>
      <w:r>
        <w:rPr>
          <w:sz w:val="24"/>
          <w:szCs w:val="24"/>
        </w:rPr>
        <w:t xml:space="preserve">With the compass or circular object, draw a circle with same center. </w:t>
      </w:r>
    </w:p>
    <w:p w14:paraId="70A0A038" w14:textId="77777777" w:rsidR="005A3175" w:rsidRDefault="001D41E1">
      <w:pPr>
        <w:numPr>
          <w:ilvl w:val="0"/>
          <w:numId w:val="1"/>
        </w:numPr>
        <w:ind w:left="360"/>
        <w:rPr>
          <w:sz w:val="24"/>
          <w:szCs w:val="24"/>
        </w:rPr>
      </w:pPr>
      <w:r>
        <w:rPr>
          <w:sz w:val="24"/>
          <w:szCs w:val="24"/>
        </w:rPr>
        <w:t>Draw a line to connect the center of the circle to EACH CATEGORY INTERSECTION</w:t>
      </w:r>
    </w:p>
    <w:p w14:paraId="5D2F7E2D" w14:textId="77777777" w:rsidR="005A3175" w:rsidRDefault="001D41E1">
      <w:pPr>
        <w:numPr>
          <w:ilvl w:val="0"/>
          <w:numId w:val="1"/>
        </w:numPr>
        <w:ind w:left="360"/>
        <w:rPr>
          <w:sz w:val="24"/>
          <w:szCs w:val="24"/>
        </w:rPr>
      </w:pPr>
      <w:r>
        <w:rPr>
          <w:sz w:val="24"/>
          <w:szCs w:val="24"/>
        </w:rPr>
        <w:t>You have a pie chart. Label the sections.</w:t>
      </w:r>
    </w:p>
    <w:p w14:paraId="02086BAE" w14:textId="77777777" w:rsidR="005A3175" w:rsidRDefault="001D41E1">
      <w:pPr>
        <w:numPr>
          <w:ilvl w:val="0"/>
          <w:numId w:val="1"/>
        </w:numPr>
        <w:ind w:left="360"/>
        <w:rPr>
          <w:sz w:val="24"/>
          <w:szCs w:val="24"/>
        </w:rPr>
      </w:pPr>
      <w:r>
        <w:rPr>
          <w:sz w:val="24"/>
          <w:szCs w:val="24"/>
        </w:rPr>
        <w:t>Calculate the fraction of each material in the original bar graph.</w:t>
      </w:r>
    </w:p>
    <w:p w14:paraId="181791D5" w14:textId="77777777" w:rsidR="005A3175" w:rsidRDefault="001D41E1">
      <w:pPr>
        <w:numPr>
          <w:ilvl w:val="0"/>
          <w:numId w:val="1"/>
        </w:numPr>
        <w:ind w:left="270"/>
        <w:rPr>
          <w:sz w:val="24"/>
          <w:szCs w:val="24"/>
        </w:rPr>
      </w:pPr>
      <w:r>
        <w:rPr>
          <w:sz w:val="24"/>
          <w:szCs w:val="24"/>
        </w:rPr>
        <w:t xml:space="preserve"> Calculate the percentage of each material for your pie graph.</w:t>
      </w:r>
    </w:p>
    <w:p w14:paraId="5B4264E2" w14:textId="495BC1B9" w:rsidR="001D41E1" w:rsidRDefault="001D41E1">
      <w:pPr>
        <w:rPr>
          <w:i/>
        </w:rPr>
      </w:pPr>
      <w:r>
        <w:rPr>
          <w:i/>
        </w:rPr>
        <w:br w:type="page"/>
      </w:r>
    </w:p>
    <w:p w14:paraId="1D250E0B" w14:textId="77777777" w:rsidR="005A3175" w:rsidRDefault="001D41E1">
      <w:pPr>
        <w:rPr>
          <w:i/>
        </w:rPr>
      </w:pPr>
      <w:r>
        <w:rPr>
          <w:i/>
        </w:rPr>
        <w:lastRenderedPageBreak/>
        <w:t>Extension:</w:t>
      </w:r>
    </w:p>
    <w:p w14:paraId="31986A9A" w14:textId="5F6568B7" w:rsidR="005A3175" w:rsidRDefault="001D41E1">
      <w:r>
        <w:rPr>
          <w:i/>
        </w:rPr>
        <w:t xml:space="preserve">How much do you predict that the average person throws away each day in pounds of trash per day? (per capita generation, </w:t>
      </w:r>
      <w:proofErr w:type="spellStart"/>
      <w:r>
        <w:rPr>
          <w:i/>
        </w:rPr>
        <w:t>lbs</w:t>
      </w:r>
      <w:proofErr w:type="spellEnd"/>
      <w:r>
        <w:rPr>
          <w:i/>
        </w:rPr>
        <w:t>/person/day) - just municipal waste. Not construction or industry.</w:t>
      </w:r>
    </w:p>
    <w:p w14:paraId="3F3E6F09" w14:textId="77777777" w:rsidR="005A3175" w:rsidRDefault="005A3175"/>
    <w:p w14:paraId="593684FC" w14:textId="77777777" w:rsidR="005A3175" w:rsidRDefault="001D41E1">
      <w:r>
        <w:t>Teacher notes:</w:t>
      </w:r>
    </w:p>
    <w:p w14:paraId="1B9893C9" w14:textId="506F2DCA" w:rsidR="005A3175" w:rsidRDefault="001D41E1">
      <w:r>
        <w:t>How much trash does an average US person generate per day? (4.5 lbs</w:t>
      </w:r>
      <w:r w:rsidR="009017DA">
        <w:t>.</w:t>
      </w:r>
      <w:r>
        <w:t xml:space="preserve"> 2015 - EPA)</w:t>
      </w:r>
    </w:p>
    <w:p w14:paraId="476A5080" w14:textId="77777777" w:rsidR="005A3175" w:rsidRDefault="001D41E1">
      <w:r>
        <w:t>The figures match to the population at the time. There were 321 million people in US in 2015.</w:t>
      </w:r>
    </w:p>
    <w:p w14:paraId="549F071B" w14:textId="77777777" w:rsidR="005A3175" w:rsidRDefault="005A3175"/>
    <w:p w14:paraId="73E07105" w14:textId="77777777" w:rsidR="005A3175" w:rsidRDefault="00640FE2">
      <w:hyperlink r:id="rId8">
        <w:r w:rsidR="001D41E1">
          <w:rPr>
            <w:noProof/>
            <w:color w:val="1155CC"/>
            <w:u w:val="single"/>
            <w:lang w:val="en-US"/>
          </w:rPr>
          <w:drawing>
            <wp:inline distT="114300" distB="114300" distL="114300" distR="114300" wp14:anchorId="14BB0052" wp14:editId="6507FB2A">
              <wp:extent cx="5810250" cy="307181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810250" cy="3071813"/>
                      </a:xfrm>
                      <a:prstGeom prst="rect">
                        <a:avLst/>
                      </a:prstGeom>
                      <a:ln/>
                    </pic:spPr>
                  </pic:pic>
                </a:graphicData>
              </a:graphic>
            </wp:inline>
          </w:drawing>
        </w:r>
      </w:hyperlink>
      <w:bookmarkStart w:id="0" w:name="_GoBack"/>
      <w:bookmarkEnd w:id="0"/>
    </w:p>
    <w:p w14:paraId="045CC155" w14:textId="77777777" w:rsidR="005A3175" w:rsidRDefault="005A3175"/>
    <w:p w14:paraId="75719EBC" w14:textId="77777777" w:rsidR="005A3175" w:rsidRDefault="001D41E1">
      <w:r>
        <w:t xml:space="preserve">From: Advancing Sustainable Materials Management, 2015 Fact Sheet </w:t>
      </w:r>
      <w:hyperlink r:id="rId10">
        <w:r>
          <w:rPr>
            <w:color w:val="1155CC"/>
            <w:u w:val="single"/>
          </w:rPr>
          <w:t>https://www.epa.gov/sites/production/files/2018-07/documents/2015_smm_msw_factsheet_07242018_fnl_508_002.pdf</w:t>
        </w:r>
      </w:hyperlink>
    </w:p>
    <w:p w14:paraId="0356E43B" w14:textId="77777777" w:rsidR="001D41E1" w:rsidRDefault="001D41E1"/>
    <w:p w14:paraId="056AE990" w14:textId="77777777" w:rsidR="001D41E1" w:rsidRDefault="001D41E1"/>
    <w:p w14:paraId="22E38FBB" w14:textId="377E5AB7" w:rsidR="005A3175" w:rsidRDefault="001D41E1">
      <w:r>
        <w:rPr>
          <w:noProof/>
          <w:lang w:val="en-US"/>
        </w:rPr>
        <w:drawing>
          <wp:anchor distT="114300" distB="114300" distL="114300" distR="114300" simplePos="0" relativeHeight="251660288" behindDoc="0" locked="0" layoutInCell="1" hidden="0" allowOverlap="1" wp14:anchorId="7E3B6EFE" wp14:editId="428759AB">
            <wp:simplePos x="0" y="0"/>
            <wp:positionH relativeFrom="column">
              <wp:posOffset>19050</wp:posOffset>
            </wp:positionH>
            <wp:positionV relativeFrom="paragraph">
              <wp:posOffset>5080</wp:posOffset>
            </wp:positionV>
            <wp:extent cx="3048000" cy="272986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048000" cy="2729865"/>
                    </a:xfrm>
                    <a:prstGeom prst="rect">
                      <a:avLst/>
                    </a:prstGeom>
                    <a:ln/>
                  </pic:spPr>
                </pic:pic>
              </a:graphicData>
            </a:graphic>
            <wp14:sizeRelH relativeFrom="margin">
              <wp14:pctWidth>0</wp14:pctWidth>
            </wp14:sizeRelH>
            <wp14:sizeRelV relativeFrom="margin">
              <wp14:pctHeight>0</wp14:pctHeight>
            </wp14:sizeRelV>
          </wp:anchor>
        </w:drawing>
      </w:r>
    </w:p>
    <w:p w14:paraId="0F0DAF1C" w14:textId="77777777" w:rsidR="005A3175" w:rsidRDefault="005A3175"/>
    <w:p w14:paraId="1B03852A" w14:textId="77777777" w:rsidR="005A3175" w:rsidRDefault="005A3175"/>
    <w:p w14:paraId="71185460" w14:textId="77777777" w:rsidR="005A3175" w:rsidRDefault="005A3175"/>
    <w:p w14:paraId="4D69E8F3" w14:textId="77777777" w:rsidR="005A3175" w:rsidRDefault="001D41E1">
      <w:r>
        <w:t>This is an example of a pie chart with the percentages generated from the previous materials chart and bar graph</w:t>
      </w:r>
      <w:proofErr w:type="gramStart"/>
      <w:r>
        <w:t>..</w:t>
      </w:r>
      <w:proofErr w:type="gramEnd"/>
    </w:p>
    <w:p w14:paraId="731A98B4" w14:textId="77777777" w:rsidR="005A3175" w:rsidRDefault="005A3175"/>
    <w:p w14:paraId="5E6116D8" w14:textId="77777777" w:rsidR="005A3175" w:rsidRDefault="005A3175"/>
    <w:p w14:paraId="4DB63436" w14:textId="77777777" w:rsidR="005A3175" w:rsidRDefault="005A3175"/>
    <w:p w14:paraId="61FDC9FE" w14:textId="77777777" w:rsidR="005A3175" w:rsidRDefault="005A3175"/>
    <w:p w14:paraId="603AEEF6" w14:textId="77777777" w:rsidR="005A3175" w:rsidRDefault="005A3175"/>
    <w:p w14:paraId="4FEE3D77" w14:textId="77777777" w:rsidR="005A3175" w:rsidRDefault="005A3175"/>
    <w:p w14:paraId="01B8DFDE" w14:textId="77777777" w:rsidR="005A3175" w:rsidRDefault="005A3175"/>
    <w:p w14:paraId="2C70EEC3" w14:textId="77777777" w:rsidR="005A3175" w:rsidRDefault="005A3175"/>
    <w:sectPr w:rsidR="005A3175">
      <w:headerReference w:type="default" r:id="rId12"/>
      <w:footerReference w:type="default" r:id="rId13"/>
      <w:pgSz w:w="12240" w:h="15840"/>
      <w:pgMar w:top="1152" w:right="1152"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87A29" w14:textId="77777777" w:rsidR="00640FE2" w:rsidRDefault="00640FE2" w:rsidP="00504F10">
      <w:pPr>
        <w:spacing w:line="240" w:lineRule="auto"/>
      </w:pPr>
      <w:r>
        <w:separator/>
      </w:r>
    </w:p>
  </w:endnote>
  <w:endnote w:type="continuationSeparator" w:id="0">
    <w:p w14:paraId="37960F01" w14:textId="77777777" w:rsidR="00640FE2" w:rsidRDefault="00640FE2" w:rsidP="00504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7838" w14:textId="7ABA4FB7" w:rsidR="00504F10" w:rsidRDefault="00504F10" w:rsidP="00504F10">
    <w:pPr>
      <w:pStyle w:val="Footer"/>
    </w:pPr>
    <w:r>
      <w:t>Katy Brown</w:t>
    </w:r>
    <w:r>
      <w:t xml:space="preserve">– </w:t>
    </w:r>
    <w:hyperlink r:id="rId1" w:history="1">
      <w:r w:rsidRPr="006965C5">
        <w:rPr>
          <w:rStyle w:val="Hyperlink"/>
        </w:rPr>
        <w:t>kbrown@pima.edu</w:t>
      </w:r>
    </w:hyperlink>
    <w:r>
      <w:t xml:space="preserve">   Pima Community College ABECC, Tucson, </w:t>
    </w:r>
    <w:proofErr w:type="gramStart"/>
    <w:r>
      <w:t>AZ  @</w:t>
    </w:r>
    <w:proofErr w:type="gramEnd"/>
    <w:r>
      <w:t xml:space="preserve"> COABE 2019</w:t>
    </w:r>
  </w:p>
  <w:p w14:paraId="03FCC0A9" w14:textId="0BB0806C" w:rsidR="00504F10" w:rsidRDefault="00504F10" w:rsidP="00504F10">
    <w:pPr>
      <w:pStyle w:val="Footer"/>
      <w:tabs>
        <w:tab w:val="clear" w:pos="4680"/>
        <w:tab w:val="clear" w:pos="9360"/>
        <w:tab w:val="left" w:pos="62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526B5" w14:textId="77777777" w:rsidR="00640FE2" w:rsidRDefault="00640FE2" w:rsidP="00504F10">
      <w:pPr>
        <w:spacing w:line="240" w:lineRule="auto"/>
      </w:pPr>
      <w:r>
        <w:separator/>
      </w:r>
    </w:p>
  </w:footnote>
  <w:footnote w:type="continuationSeparator" w:id="0">
    <w:p w14:paraId="11AB20F0" w14:textId="77777777" w:rsidR="00640FE2" w:rsidRDefault="00640FE2" w:rsidP="00504F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C055C" w14:textId="2A7915DA" w:rsidR="00504F10" w:rsidRDefault="00504F10">
    <w:pPr>
      <w:pStyle w:val="Header"/>
    </w:pPr>
    <w:r w:rsidRPr="00504F10">
      <w:rPr>
        <w:b/>
        <w:bCs/>
        <w:iCs/>
        <w:color w:val="000000"/>
      </w:rPr>
      <w:t>Lesson</w:t>
    </w:r>
    <w:r>
      <w:rPr>
        <w:b/>
        <w:bCs/>
        <w:i/>
        <w:iCs/>
        <w:color w:val="000000"/>
      </w:rPr>
      <w:t xml:space="preserve"> - </w:t>
    </w:r>
    <w:r>
      <w:rPr>
        <w:b/>
        <w:bCs/>
        <w:i/>
        <w:iCs/>
        <w:color w:val="000000"/>
      </w:rPr>
      <w:t>Connecting Math and Science; Contextualizing to Topics that Count.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1B57"/>
    <w:multiLevelType w:val="multilevel"/>
    <w:tmpl w:val="4446B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B36E26"/>
    <w:multiLevelType w:val="multilevel"/>
    <w:tmpl w:val="D2A24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AB321E"/>
    <w:multiLevelType w:val="multilevel"/>
    <w:tmpl w:val="BF082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5"/>
    <w:rsid w:val="001D41E1"/>
    <w:rsid w:val="00504F10"/>
    <w:rsid w:val="005A3175"/>
    <w:rsid w:val="00640FE2"/>
    <w:rsid w:val="0090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C0C1"/>
  <w15:docId w15:val="{1593CDCE-6090-4C7C-A8FD-F1F5E4D7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D41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E1"/>
    <w:rPr>
      <w:rFonts w:ascii="Segoe UI" w:hAnsi="Segoe UI" w:cs="Segoe UI"/>
      <w:sz w:val="18"/>
      <w:szCs w:val="18"/>
    </w:rPr>
  </w:style>
  <w:style w:type="paragraph" w:styleId="Header">
    <w:name w:val="header"/>
    <w:basedOn w:val="Normal"/>
    <w:link w:val="HeaderChar"/>
    <w:uiPriority w:val="99"/>
    <w:unhideWhenUsed/>
    <w:rsid w:val="00504F10"/>
    <w:pPr>
      <w:tabs>
        <w:tab w:val="center" w:pos="4680"/>
        <w:tab w:val="right" w:pos="9360"/>
      </w:tabs>
      <w:spacing w:line="240" w:lineRule="auto"/>
    </w:pPr>
  </w:style>
  <w:style w:type="character" w:customStyle="1" w:styleId="HeaderChar">
    <w:name w:val="Header Char"/>
    <w:basedOn w:val="DefaultParagraphFont"/>
    <w:link w:val="Header"/>
    <w:uiPriority w:val="99"/>
    <w:rsid w:val="00504F10"/>
  </w:style>
  <w:style w:type="paragraph" w:styleId="Footer">
    <w:name w:val="footer"/>
    <w:basedOn w:val="Normal"/>
    <w:link w:val="FooterChar"/>
    <w:uiPriority w:val="99"/>
    <w:unhideWhenUsed/>
    <w:rsid w:val="00504F10"/>
    <w:pPr>
      <w:tabs>
        <w:tab w:val="center" w:pos="4680"/>
        <w:tab w:val="right" w:pos="9360"/>
      </w:tabs>
      <w:spacing w:line="240" w:lineRule="auto"/>
    </w:pPr>
  </w:style>
  <w:style w:type="character" w:customStyle="1" w:styleId="FooterChar">
    <w:name w:val="Footer Char"/>
    <w:basedOn w:val="DefaultParagraphFont"/>
    <w:link w:val="Footer"/>
    <w:uiPriority w:val="99"/>
    <w:rsid w:val="00504F10"/>
  </w:style>
  <w:style w:type="character" w:styleId="Hyperlink">
    <w:name w:val="Hyperlink"/>
    <w:basedOn w:val="DefaultParagraphFont"/>
    <w:uiPriority w:val="99"/>
    <w:unhideWhenUsed/>
    <w:rsid w:val="00504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8-07/documents/2015_smm_msw_factsheet_07242018_fnl_508_00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pa.gov/sites/production/files/2018-07/documents/2015_smm_msw_factsheet_07242018_fnl_508_002.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brown@pi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Brown</dc:creator>
  <cp:lastModifiedBy>Katy T Brown</cp:lastModifiedBy>
  <cp:revision>2</cp:revision>
  <dcterms:created xsi:type="dcterms:W3CDTF">2019-03-26T21:22:00Z</dcterms:created>
  <dcterms:modified xsi:type="dcterms:W3CDTF">2019-03-26T21:22:00Z</dcterms:modified>
</cp:coreProperties>
</file>